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46C" w:rsidRDefault="00701FA9" w:rsidP="007C772A">
      <w:pPr>
        <w:jc w:val="center"/>
        <w:rPr>
          <w:rFonts w:ascii="Cambria" w:hAnsi="Cambria" w:cs="Times New Roman"/>
          <w:b/>
          <w:sz w:val="28"/>
          <w:szCs w:val="24"/>
        </w:rPr>
      </w:pPr>
      <w:r w:rsidRPr="007C772A">
        <w:rPr>
          <w:rFonts w:ascii="Cambria" w:hAnsi="Cambria" w:cs="Times New Roman"/>
          <w:b/>
          <w:sz w:val="28"/>
          <w:szCs w:val="24"/>
        </w:rPr>
        <w:t xml:space="preserve">PENGAWASAN TIDAK </w:t>
      </w:r>
      <w:r w:rsidR="0061046C" w:rsidRPr="007C772A">
        <w:rPr>
          <w:rFonts w:ascii="Cambria" w:hAnsi="Cambria" w:cs="Times New Roman"/>
          <w:b/>
          <w:sz w:val="28"/>
          <w:szCs w:val="24"/>
        </w:rPr>
        <w:t>DIMULAI</w:t>
      </w:r>
      <w:r w:rsidRPr="007C772A">
        <w:rPr>
          <w:rFonts w:ascii="Cambria" w:hAnsi="Cambria" w:cs="Times New Roman"/>
          <w:b/>
          <w:sz w:val="28"/>
          <w:szCs w:val="24"/>
        </w:rPr>
        <w:t xml:space="preserve"> PADA HARI PEMUNGUTAN SUARA</w:t>
      </w:r>
    </w:p>
    <w:p w:rsidR="007C772A" w:rsidRDefault="007C772A" w:rsidP="007C772A">
      <w:pPr>
        <w:pBdr>
          <w:bottom w:val="single" w:sz="4" w:space="1" w:color="auto"/>
        </w:pBdr>
        <w:jc w:val="center"/>
        <w:rPr>
          <w:rFonts w:ascii="Cambria" w:hAnsi="Cambria" w:cs="Times New Roman"/>
          <w:b/>
          <w:sz w:val="28"/>
          <w:szCs w:val="24"/>
        </w:rPr>
      </w:pPr>
    </w:p>
    <w:p w:rsidR="007C772A" w:rsidRPr="007C772A" w:rsidRDefault="007C772A" w:rsidP="007C772A">
      <w:pPr>
        <w:rPr>
          <w:rFonts w:ascii="Cambria" w:hAnsi="Cambria" w:cs="Times New Roman"/>
          <w:b/>
          <w:sz w:val="28"/>
          <w:szCs w:val="24"/>
        </w:rPr>
      </w:pPr>
    </w:p>
    <w:p w:rsidR="00701FA9" w:rsidRDefault="00701FA9" w:rsidP="00701FA9">
      <w:pPr>
        <w:spacing w:line="360" w:lineRule="auto"/>
        <w:ind w:firstLine="720"/>
        <w:jc w:val="both"/>
        <w:rPr>
          <w:rFonts w:ascii="Cambria" w:hAnsi="Cambria" w:cs="Times New Roman"/>
          <w:sz w:val="24"/>
          <w:szCs w:val="24"/>
        </w:rPr>
      </w:pPr>
      <w:r w:rsidRPr="00701FA9">
        <w:rPr>
          <w:rFonts w:ascii="Cambria" w:hAnsi="Cambria" w:cs="Times New Roman"/>
          <w:sz w:val="24"/>
          <w:szCs w:val="24"/>
        </w:rPr>
        <w:t>Dalam benak masyarakat umum, tugas pengawas pemilu sering kali digambarkan secara dramatis pada hari H pemungutan suara: berdiri di dekat bilik suara, mengawasi kotak pemungutan, atau bersiap menghentikan kecurangan saat warga mencoblos. Pandangan ini tidak sepenuhnya salah, namun kurang tepat. Secara filosofis dan operasional dalam hukum tata negara, keberhasilan pengawasan Pemilu tidak ditentukan di hari pemungutan suara, melainkan pada seluruh tahapan sebelum pemungutan suara itu sendiri dilaksanakan.</w:t>
      </w:r>
    </w:p>
    <w:p w:rsidR="0061046C" w:rsidRPr="0061046C" w:rsidRDefault="0061046C" w:rsidP="00BB3478">
      <w:pPr>
        <w:spacing w:line="360" w:lineRule="auto"/>
        <w:ind w:hanging="90"/>
        <w:jc w:val="both"/>
        <w:rPr>
          <w:rFonts w:ascii="Cambria" w:hAnsi="Cambria" w:cs="Times New Roman"/>
          <w:b/>
          <w:sz w:val="24"/>
          <w:szCs w:val="24"/>
        </w:rPr>
      </w:pPr>
      <w:r w:rsidRPr="0061046C">
        <w:rPr>
          <w:rFonts w:ascii="Cambria" w:hAnsi="Cambria" w:cs="Times New Roman"/>
          <w:b/>
          <w:sz w:val="24"/>
          <w:szCs w:val="24"/>
        </w:rPr>
        <w:t xml:space="preserve">Mengapa Fokus Pengawasan Ada Sebelum Hari H? </w:t>
      </w:r>
    </w:p>
    <w:p w:rsidR="0061046C" w:rsidRDefault="0061046C" w:rsidP="00701FA9">
      <w:pPr>
        <w:spacing w:line="360" w:lineRule="auto"/>
        <w:ind w:firstLine="720"/>
        <w:jc w:val="both"/>
        <w:rPr>
          <w:rFonts w:ascii="Cambria" w:hAnsi="Cambria" w:cs="Times New Roman"/>
          <w:sz w:val="24"/>
          <w:szCs w:val="24"/>
        </w:rPr>
      </w:pPr>
      <w:r w:rsidRPr="0061046C">
        <w:rPr>
          <w:rFonts w:ascii="Cambria" w:hAnsi="Cambria" w:cs="Times New Roman"/>
          <w:sz w:val="24"/>
          <w:szCs w:val="24"/>
        </w:rPr>
        <w:t>Hari pemungutan suara di Tempat Pemungutan Suara (TPS) hanyalah muara dari sebuah proses panjang. Jika pengawasan baru dimulai saat surat suara hendak dicoblos, maka Bawaslu sebenarnya telah terlambat mencegah potensi pelanggaran yang paling mendasar dan terstruktur.</w:t>
      </w:r>
      <w:r>
        <w:rPr>
          <w:rFonts w:ascii="Cambria" w:hAnsi="Cambria" w:cs="Times New Roman"/>
          <w:sz w:val="24"/>
          <w:szCs w:val="24"/>
        </w:rPr>
        <w:t xml:space="preserve"> </w:t>
      </w:r>
      <w:r w:rsidRPr="0061046C">
        <w:rPr>
          <w:rFonts w:ascii="Cambria" w:hAnsi="Cambria" w:cs="Times New Roman"/>
          <w:sz w:val="24"/>
          <w:szCs w:val="24"/>
        </w:rPr>
        <w:t>Berikut adalah tiga alasan utama mengapa kerja-kerja pengawasan justru terfokus pada masa pra-pemungutan suara:</w:t>
      </w:r>
      <w:r>
        <w:rPr>
          <w:rFonts w:ascii="Cambria" w:hAnsi="Cambria" w:cs="Times New Roman"/>
          <w:sz w:val="24"/>
          <w:szCs w:val="24"/>
        </w:rPr>
        <w:t xml:space="preserve"> </w:t>
      </w:r>
    </w:p>
    <w:p w:rsidR="0061046C" w:rsidRPr="0061046C" w:rsidRDefault="0061046C" w:rsidP="0061046C">
      <w:pPr>
        <w:pStyle w:val="NoSpacing"/>
        <w:numPr>
          <w:ilvl w:val="0"/>
          <w:numId w:val="1"/>
        </w:numPr>
        <w:spacing w:line="360" w:lineRule="auto"/>
        <w:jc w:val="both"/>
        <w:rPr>
          <w:rFonts w:ascii="Cambria" w:hAnsi="Cambria"/>
          <w:b/>
          <w:sz w:val="24"/>
        </w:rPr>
      </w:pPr>
      <w:r w:rsidRPr="0061046C">
        <w:rPr>
          <w:rFonts w:ascii="Cambria" w:hAnsi="Cambria"/>
          <w:b/>
          <w:sz w:val="24"/>
        </w:rPr>
        <w:t>Pencegahan Lebih Utama daripada Penindakan (</w:t>
      </w:r>
      <w:r w:rsidRPr="0061046C">
        <w:rPr>
          <w:rFonts w:ascii="Cambria" w:hAnsi="Cambria"/>
          <w:b/>
          <w:i/>
          <w:sz w:val="24"/>
        </w:rPr>
        <w:t>Preventive Measures</w:t>
      </w:r>
      <w:r w:rsidRPr="0061046C">
        <w:rPr>
          <w:rFonts w:ascii="Cambria" w:hAnsi="Cambria"/>
          <w:b/>
          <w:sz w:val="24"/>
        </w:rPr>
        <w:t>).</w:t>
      </w:r>
    </w:p>
    <w:p w:rsidR="0061046C" w:rsidRPr="0061046C" w:rsidRDefault="0061046C" w:rsidP="0061046C">
      <w:pPr>
        <w:pStyle w:val="NoSpacing"/>
        <w:spacing w:line="360" w:lineRule="auto"/>
        <w:ind w:left="720"/>
        <w:jc w:val="both"/>
        <w:rPr>
          <w:rFonts w:ascii="Cambria" w:hAnsi="Cambria"/>
          <w:sz w:val="24"/>
        </w:rPr>
      </w:pPr>
      <w:r w:rsidRPr="0061046C">
        <w:rPr>
          <w:rFonts w:ascii="Cambria" w:hAnsi="Cambria"/>
          <w:sz w:val="24"/>
        </w:rPr>
        <w:t>Prinsip utama Bawaslu adalah mencegah terjadinya pelanggaran, bukan sekadar menindak setelah kerugian terjadi. Jika pelanggaran—seperti politik uang, intimidasi pemilih, atau manipulasi daftar pemilih—terjadi sebelum hari pemungutan suara dan dibiarkan, maka hasil di TPS pada hari H sudah tercemar sejak awal.</w:t>
      </w:r>
    </w:p>
    <w:p w:rsidR="0061046C" w:rsidRPr="0061046C" w:rsidRDefault="0061046C" w:rsidP="0061046C">
      <w:pPr>
        <w:pStyle w:val="NoSpacing"/>
        <w:numPr>
          <w:ilvl w:val="0"/>
          <w:numId w:val="1"/>
        </w:numPr>
        <w:spacing w:line="360" w:lineRule="auto"/>
        <w:jc w:val="both"/>
        <w:rPr>
          <w:rFonts w:ascii="Cambria" w:hAnsi="Cambria" w:cs="Times New Roman"/>
          <w:b/>
          <w:sz w:val="24"/>
          <w:szCs w:val="24"/>
        </w:rPr>
      </w:pPr>
      <w:r w:rsidRPr="0061046C">
        <w:rPr>
          <w:rFonts w:ascii="Cambria" w:hAnsi="Cambria" w:cs="Times New Roman"/>
          <w:b/>
          <w:sz w:val="24"/>
          <w:szCs w:val="24"/>
        </w:rPr>
        <w:t>Akurasi Hak Pilih Dimulai dari DPT.</w:t>
      </w:r>
    </w:p>
    <w:p w:rsidR="0061046C" w:rsidRDefault="0061046C" w:rsidP="0061046C">
      <w:pPr>
        <w:pStyle w:val="NoSpacing"/>
        <w:spacing w:line="360" w:lineRule="auto"/>
        <w:ind w:left="720"/>
        <w:jc w:val="both"/>
        <w:rPr>
          <w:rFonts w:ascii="Cambria" w:hAnsi="Cambria" w:cs="Times New Roman"/>
          <w:sz w:val="24"/>
          <w:szCs w:val="24"/>
        </w:rPr>
      </w:pPr>
      <w:r w:rsidRPr="0061046C">
        <w:rPr>
          <w:rFonts w:ascii="Cambria" w:hAnsi="Cambria" w:cs="Times New Roman"/>
          <w:sz w:val="24"/>
          <w:szCs w:val="24"/>
        </w:rPr>
        <w:t>Daftar Pemilih Tetap (DPT) disusun berbulan-bulan sebelum pencoblosan. Pengawasan ketat pada proses pemutakhiran data pemilih memastikan tidak ada pemilih ganda, pemilih fiktif, atau warga negara yang kehilangan hak pilihnya. Kerawanan DPT yang dibiarkan sebelum hari H akan merusak integritas hasil suara di TPS.</w:t>
      </w:r>
    </w:p>
    <w:p w:rsidR="00A44E77" w:rsidRDefault="00A44E77" w:rsidP="0061046C">
      <w:pPr>
        <w:pStyle w:val="NoSpacing"/>
        <w:spacing w:line="360" w:lineRule="auto"/>
        <w:ind w:left="720"/>
        <w:jc w:val="both"/>
        <w:rPr>
          <w:rFonts w:ascii="Cambria" w:hAnsi="Cambria" w:cs="Times New Roman"/>
          <w:sz w:val="24"/>
          <w:szCs w:val="24"/>
        </w:rPr>
      </w:pPr>
    </w:p>
    <w:p w:rsidR="00A44E77" w:rsidRPr="0061046C" w:rsidRDefault="00A44E77" w:rsidP="0061046C">
      <w:pPr>
        <w:pStyle w:val="NoSpacing"/>
        <w:spacing w:line="360" w:lineRule="auto"/>
        <w:ind w:left="720"/>
        <w:jc w:val="both"/>
        <w:rPr>
          <w:rFonts w:ascii="Cambria" w:hAnsi="Cambria" w:cs="Times New Roman"/>
          <w:sz w:val="24"/>
          <w:szCs w:val="24"/>
        </w:rPr>
      </w:pPr>
    </w:p>
    <w:p w:rsidR="0061046C" w:rsidRPr="00A85990" w:rsidRDefault="0061046C" w:rsidP="0061046C">
      <w:pPr>
        <w:pStyle w:val="NoSpacing"/>
        <w:numPr>
          <w:ilvl w:val="0"/>
          <w:numId w:val="1"/>
        </w:numPr>
        <w:spacing w:line="360" w:lineRule="auto"/>
        <w:jc w:val="both"/>
        <w:rPr>
          <w:rFonts w:ascii="Cambria" w:hAnsi="Cambria" w:cs="Times New Roman"/>
          <w:b/>
          <w:sz w:val="24"/>
          <w:szCs w:val="24"/>
        </w:rPr>
      </w:pPr>
      <w:r w:rsidRPr="00A85990">
        <w:rPr>
          <w:rFonts w:ascii="Cambria" w:hAnsi="Cambria" w:cs="Times New Roman"/>
          <w:b/>
          <w:sz w:val="24"/>
          <w:szCs w:val="24"/>
        </w:rPr>
        <w:lastRenderedPageBreak/>
        <w:t>Netralitas dan Logistik sebagai Benteng Utama.</w:t>
      </w:r>
    </w:p>
    <w:p w:rsidR="0061046C" w:rsidRDefault="0061046C" w:rsidP="0061046C">
      <w:pPr>
        <w:pStyle w:val="NoSpacing"/>
        <w:spacing w:line="360" w:lineRule="auto"/>
        <w:ind w:left="720"/>
        <w:jc w:val="both"/>
        <w:rPr>
          <w:rFonts w:ascii="Cambria" w:hAnsi="Cambria" w:cs="Times New Roman"/>
          <w:sz w:val="24"/>
          <w:szCs w:val="24"/>
        </w:rPr>
      </w:pPr>
      <w:r w:rsidRPr="0061046C">
        <w:rPr>
          <w:rFonts w:ascii="Cambria" w:hAnsi="Cambria" w:cs="Times New Roman"/>
          <w:sz w:val="24"/>
          <w:szCs w:val="24"/>
        </w:rPr>
        <w:t>Proses pencetakan, pelipatan, hingga distribusi surat suara dan kotak suara dilakukan jauh sebelum hari H. Jika pengawasan logistik tidak ketat sebelum pemungutan suara, risiko surat suara rusak, tertukar, atau hilang di jalan akan merusak proses di TPS tanpa bisa diperbaiki dengan cepat.</w:t>
      </w:r>
    </w:p>
    <w:p w:rsidR="0061046C" w:rsidRPr="0061046C" w:rsidRDefault="0061046C" w:rsidP="0061046C">
      <w:pPr>
        <w:pStyle w:val="NoSpacing"/>
        <w:spacing w:line="360" w:lineRule="auto"/>
        <w:ind w:left="720"/>
        <w:jc w:val="both"/>
        <w:rPr>
          <w:rFonts w:ascii="Cambria" w:hAnsi="Cambria" w:cs="Times New Roman"/>
          <w:sz w:val="24"/>
          <w:szCs w:val="24"/>
        </w:rPr>
      </w:pPr>
    </w:p>
    <w:p w:rsidR="007C772A" w:rsidRPr="007C772A" w:rsidRDefault="0061046C" w:rsidP="0061046C">
      <w:pPr>
        <w:spacing w:line="360" w:lineRule="auto"/>
        <w:jc w:val="both"/>
        <w:rPr>
          <w:rFonts w:ascii="Cambria" w:hAnsi="Cambria" w:cs="Times New Roman"/>
          <w:b/>
          <w:sz w:val="24"/>
          <w:szCs w:val="24"/>
        </w:rPr>
      </w:pPr>
      <w:r w:rsidRPr="007C772A">
        <w:rPr>
          <w:rFonts w:ascii="Cambria" w:hAnsi="Cambria" w:cs="Times New Roman"/>
          <w:b/>
          <w:sz w:val="24"/>
          <w:szCs w:val="24"/>
        </w:rPr>
        <w:t>Pemetaan Fokus Pengawasan Pra-Pemungutan Suara</w:t>
      </w:r>
    </w:p>
    <w:p w:rsidR="007C772A" w:rsidRDefault="0061046C" w:rsidP="0061046C">
      <w:pPr>
        <w:spacing w:line="360" w:lineRule="auto"/>
        <w:jc w:val="both"/>
        <w:rPr>
          <w:rFonts w:ascii="Cambria" w:hAnsi="Cambria" w:cs="Times New Roman"/>
          <w:sz w:val="24"/>
          <w:szCs w:val="24"/>
        </w:rPr>
      </w:pPr>
      <w:r w:rsidRPr="0061046C">
        <w:rPr>
          <w:rFonts w:ascii="Cambria" w:hAnsi="Cambria" w:cs="Times New Roman"/>
          <w:sz w:val="24"/>
          <w:szCs w:val="24"/>
        </w:rPr>
        <w:t>Untuk memahami secara komprehensif bagaimana Bawaslu bekerja sebelum hari H, berikut adalah cakupan pengawasan pada tahapan-tahapan krusial:</w:t>
      </w:r>
    </w:p>
    <w:tbl>
      <w:tblPr>
        <w:tblStyle w:val="GridTable4-Accent2"/>
        <w:tblW w:w="0" w:type="auto"/>
        <w:tblLook w:val="04A0" w:firstRow="1" w:lastRow="0" w:firstColumn="1" w:lastColumn="0" w:noHBand="0" w:noVBand="1"/>
      </w:tblPr>
      <w:tblGrid>
        <w:gridCol w:w="4675"/>
        <w:gridCol w:w="4675"/>
      </w:tblGrid>
      <w:tr w:rsidR="007C772A" w:rsidTr="007C772A">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4675" w:type="dxa"/>
          </w:tcPr>
          <w:p w:rsidR="007C772A" w:rsidRDefault="007C772A" w:rsidP="007C772A">
            <w:pPr>
              <w:jc w:val="center"/>
              <w:rPr>
                <w:rFonts w:ascii="Cambria" w:hAnsi="Cambria" w:cs="Times New Roman"/>
                <w:sz w:val="24"/>
                <w:szCs w:val="24"/>
              </w:rPr>
            </w:pPr>
            <w:r>
              <w:rPr>
                <w:rFonts w:ascii="Cambria" w:hAnsi="Cambria" w:cs="Times New Roman"/>
                <w:sz w:val="24"/>
                <w:szCs w:val="24"/>
              </w:rPr>
              <w:t>NON TAHAPAN S/D TAHAPAN PEMILU</w:t>
            </w:r>
          </w:p>
        </w:tc>
        <w:tc>
          <w:tcPr>
            <w:tcW w:w="4675" w:type="dxa"/>
          </w:tcPr>
          <w:p w:rsidR="007C772A" w:rsidRDefault="007C772A" w:rsidP="007C772A">
            <w:pPr>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z w:val="24"/>
                <w:szCs w:val="24"/>
              </w:rPr>
            </w:pPr>
            <w:r>
              <w:rPr>
                <w:rFonts w:ascii="Cambria" w:hAnsi="Cambria" w:cs="Times New Roman"/>
                <w:sz w:val="24"/>
                <w:szCs w:val="24"/>
              </w:rPr>
              <w:t>FOKUS UTAMA PENGAWASAN BAWASLU</w:t>
            </w:r>
          </w:p>
        </w:tc>
      </w:tr>
      <w:tr w:rsidR="007C772A" w:rsidTr="007C772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675" w:type="dxa"/>
          </w:tcPr>
          <w:p w:rsidR="007C772A" w:rsidRPr="007C772A" w:rsidRDefault="007C772A">
            <w:pPr>
              <w:rPr>
                <w:rFonts w:ascii="Cambria" w:hAnsi="Cambria" w:cs="Times New Roman"/>
                <w:b w:val="0"/>
                <w:sz w:val="24"/>
                <w:szCs w:val="24"/>
              </w:rPr>
            </w:pPr>
            <w:r>
              <w:rPr>
                <w:rFonts w:ascii="Cambria" w:hAnsi="Cambria" w:cs="Times New Roman"/>
                <w:b w:val="0"/>
                <w:sz w:val="24"/>
                <w:szCs w:val="24"/>
              </w:rPr>
              <w:t>Pemutakhiran data pemilih berkelanjutan</w:t>
            </w:r>
          </w:p>
        </w:tc>
        <w:tc>
          <w:tcPr>
            <w:tcW w:w="4675" w:type="dxa"/>
          </w:tcPr>
          <w:p w:rsidR="007C772A" w:rsidRDefault="007C772A" w:rsidP="007C772A">
            <w:pPr>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7C772A">
              <w:rPr>
                <w:rFonts w:ascii="Cambria" w:hAnsi="Cambria" w:cs="Times New Roman"/>
                <w:sz w:val="24"/>
                <w:szCs w:val="24"/>
              </w:rPr>
              <w:t>Memastikan warga yang memenuhi syarat terdaftar dan mencoret pemilih tidak memenuhi syarat (TMS).</w:t>
            </w:r>
          </w:p>
        </w:tc>
      </w:tr>
      <w:tr w:rsidR="007C772A" w:rsidTr="007C772A">
        <w:trPr>
          <w:trHeight w:val="484"/>
        </w:trPr>
        <w:tc>
          <w:tcPr>
            <w:cnfStyle w:val="001000000000" w:firstRow="0" w:lastRow="0" w:firstColumn="1" w:lastColumn="0" w:oddVBand="0" w:evenVBand="0" w:oddHBand="0" w:evenHBand="0" w:firstRowFirstColumn="0" w:firstRowLastColumn="0" w:lastRowFirstColumn="0" w:lastRowLastColumn="0"/>
            <w:tcW w:w="4675" w:type="dxa"/>
          </w:tcPr>
          <w:p w:rsidR="007C772A" w:rsidRPr="007C772A" w:rsidRDefault="007C772A">
            <w:pPr>
              <w:rPr>
                <w:rFonts w:ascii="Cambria" w:hAnsi="Cambria" w:cs="Times New Roman"/>
                <w:b w:val="0"/>
                <w:sz w:val="24"/>
                <w:szCs w:val="24"/>
              </w:rPr>
            </w:pPr>
            <w:r>
              <w:rPr>
                <w:rFonts w:ascii="Cambria" w:hAnsi="Cambria" w:cs="Times New Roman"/>
                <w:b w:val="0"/>
                <w:sz w:val="24"/>
                <w:szCs w:val="24"/>
              </w:rPr>
              <w:t xml:space="preserve">Pencalonan </w:t>
            </w:r>
          </w:p>
        </w:tc>
        <w:tc>
          <w:tcPr>
            <w:tcW w:w="4675" w:type="dxa"/>
          </w:tcPr>
          <w:p w:rsidR="007C772A" w:rsidRDefault="007C772A" w:rsidP="007C772A">
            <w:pPr>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7C772A">
              <w:rPr>
                <w:rFonts w:ascii="Cambria" w:hAnsi="Cambria" w:cs="Times New Roman"/>
                <w:sz w:val="24"/>
                <w:szCs w:val="24"/>
              </w:rPr>
              <w:t>Memastikan keabsahan berkas administratif calon dan tidak ada penyalahgunaan wewenang.</w:t>
            </w:r>
          </w:p>
        </w:tc>
      </w:tr>
      <w:tr w:rsidR="007C772A" w:rsidTr="007C772A">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675" w:type="dxa"/>
          </w:tcPr>
          <w:p w:rsidR="007C772A" w:rsidRPr="004661E0" w:rsidRDefault="004661E0">
            <w:pPr>
              <w:rPr>
                <w:rFonts w:ascii="Cambria" w:hAnsi="Cambria" w:cs="Times New Roman"/>
                <w:b w:val="0"/>
                <w:sz w:val="24"/>
                <w:szCs w:val="24"/>
              </w:rPr>
            </w:pPr>
            <w:r>
              <w:rPr>
                <w:rFonts w:ascii="Cambria" w:hAnsi="Cambria" w:cs="Times New Roman"/>
                <w:b w:val="0"/>
                <w:sz w:val="24"/>
                <w:szCs w:val="24"/>
              </w:rPr>
              <w:t>Masa kampanye</w:t>
            </w:r>
          </w:p>
        </w:tc>
        <w:tc>
          <w:tcPr>
            <w:tcW w:w="4675" w:type="dxa"/>
          </w:tcPr>
          <w:p w:rsidR="007C772A" w:rsidRDefault="007C772A" w:rsidP="007C772A">
            <w:pPr>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7C772A">
              <w:rPr>
                <w:rFonts w:ascii="Cambria" w:hAnsi="Cambria" w:cs="Times New Roman"/>
                <w:sz w:val="24"/>
                <w:szCs w:val="24"/>
              </w:rPr>
              <w:t>Memastikan kesetaraan ruang berkampanye, menindak hate speech, isu SARA, serta politik uang.</w:t>
            </w:r>
          </w:p>
        </w:tc>
      </w:tr>
      <w:tr w:rsidR="007C772A" w:rsidTr="007C772A">
        <w:trPr>
          <w:trHeight w:val="484"/>
        </w:trPr>
        <w:tc>
          <w:tcPr>
            <w:cnfStyle w:val="001000000000" w:firstRow="0" w:lastRow="0" w:firstColumn="1" w:lastColumn="0" w:oddVBand="0" w:evenVBand="0" w:oddHBand="0" w:evenHBand="0" w:firstRowFirstColumn="0" w:firstRowLastColumn="0" w:lastRowFirstColumn="0" w:lastRowLastColumn="0"/>
            <w:tcW w:w="4675" w:type="dxa"/>
          </w:tcPr>
          <w:p w:rsidR="007C772A" w:rsidRPr="004661E0" w:rsidRDefault="004661E0">
            <w:pPr>
              <w:rPr>
                <w:rFonts w:ascii="Cambria" w:hAnsi="Cambria" w:cs="Times New Roman"/>
                <w:b w:val="0"/>
                <w:sz w:val="24"/>
                <w:szCs w:val="24"/>
              </w:rPr>
            </w:pPr>
            <w:r>
              <w:rPr>
                <w:rFonts w:ascii="Cambria" w:hAnsi="Cambria" w:cs="Times New Roman"/>
                <w:b w:val="0"/>
                <w:sz w:val="24"/>
                <w:szCs w:val="24"/>
              </w:rPr>
              <w:t>Masa tenang</w:t>
            </w:r>
          </w:p>
        </w:tc>
        <w:tc>
          <w:tcPr>
            <w:tcW w:w="4675" w:type="dxa"/>
          </w:tcPr>
          <w:p w:rsidR="007C772A" w:rsidRDefault="007C772A" w:rsidP="007C772A">
            <w:pPr>
              <w:jc w:val="both"/>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rPr>
            </w:pPr>
            <w:r w:rsidRPr="007C772A">
              <w:rPr>
                <w:rFonts w:ascii="Cambria" w:hAnsi="Cambria" w:cs="Times New Roman"/>
                <w:sz w:val="24"/>
                <w:szCs w:val="24"/>
              </w:rPr>
              <w:t>Memastikan tidak ada aktivitas kampanye terselubung dan pembersihan alat peraga kampanye (APK).</w:t>
            </w:r>
          </w:p>
        </w:tc>
      </w:tr>
      <w:tr w:rsidR="007C772A" w:rsidTr="007C772A">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4675" w:type="dxa"/>
          </w:tcPr>
          <w:p w:rsidR="007C772A" w:rsidRDefault="007C772A">
            <w:pPr>
              <w:rPr>
                <w:rFonts w:ascii="Cambria" w:hAnsi="Cambria" w:cs="Times New Roman"/>
                <w:sz w:val="24"/>
                <w:szCs w:val="24"/>
              </w:rPr>
            </w:pPr>
          </w:p>
        </w:tc>
        <w:tc>
          <w:tcPr>
            <w:tcW w:w="4675" w:type="dxa"/>
          </w:tcPr>
          <w:p w:rsidR="007C772A" w:rsidRPr="007C772A" w:rsidRDefault="007C772A" w:rsidP="007C772A">
            <w:pPr>
              <w:jc w:val="both"/>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7C772A">
              <w:rPr>
                <w:rFonts w:ascii="Cambria" w:hAnsi="Cambria" w:cs="Times New Roman"/>
                <w:sz w:val="24"/>
                <w:szCs w:val="24"/>
              </w:rPr>
              <w:t>Mengawal ketepatan jumlah, kualitas, serta keamanan distribusi perlengkapan pemungutan suara.</w:t>
            </w:r>
          </w:p>
        </w:tc>
      </w:tr>
    </w:tbl>
    <w:p w:rsidR="00701FA9" w:rsidRDefault="00701FA9">
      <w:pPr>
        <w:rPr>
          <w:rFonts w:ascii="Cambria" w:hAnsi="Cambria" w:cs="Times New Roman"/>
          <w:sz w:val="24"/>
          <w:szCs w:val="24"/>
        </w:rPr>
      </w:pPr>
    </w:p>
    <w:p w:rsidR="00AD0A64" w:rsidRPr="00AD0A64" w:rsidRDefault="007C772A">
      <w:pPr>
        <w:rPr>
          <w:rFonts w:ascii="Cambria" w:hAnsi="Cambria" w:cs="Times New Roman"/>
          <w:b/>
          <w:sz w:val="24"/>
          <w:szCs w:val="24"/>
        </w:rPr>
      </w:pPr>
      <w:r w:rsidRPr="00AD0A64">
        <w:rPr>
          <w:rFonts w:ascii="Cambria" w:hAnsi="Cambria" w:cs="Times New Roman"/>
          <w:b/>
          <w:sz w:val="24"/>
          <w:szCs w:val="24"/>
        </w:rPr>
        <w:t xml:space="preserve">Hari Pemungutan Suara: Cermin Hasil Pengawasan </w:t>
      </w:r>
    </w:p>
    <w:p w:rsidR="00F63114" w:rsidRDefault="007C772A" w:rsidP="00F63114">
      <w:pPr>
        <w:spacing w:line="360" w:lineRule="auto"/>
        <w:jc w:val="both"/>
        <w:rPr>
          <w:rFonts w:ascii="Cambria" w:hAnsi="Cambria" w:cs="Times New Roman"/>
          <w:sz w:val="24"/>
          <w:szCs w:val="24"/>
        </w:rPr>
      </w:pPr>
      <w:r w:rsidRPr="007C772A">
        <w:rPr>
          <w:rFonts w:ascii="Cambria" w:hAnsi="Cambria" w:cs="Times New Roman"/>
          <w:sz w:val="24"/>
          <w:szCs w:val="24"/>
        </w:rPr>
        <w:t xml:space="preserve">Ketika hari pemungutan suara tiba, apa yang dilakukan oleh pengawas pemilu (khususnya Pengawas TPS) di lokasi adalah memastikan mekanisme berjalan sesuai prosedur standar (SOP). </w:t>
      </w:r>
    </w:p>
    <w:p w:rsidR="00F63114" w:rsidRDefault="007C772A" w:rsidP="00F63114">
      <w:pPr>
        <w:spacing w:line="360" w:lineRule="auto"/>
        <w:jc w:val="both"/>
        <w:rPr>
          <w:rFonts w:ascii="Cambria" w:hAnsi="Cambria" w:cs="Times New Roman"/>
          <w:sz w:val="24"/>
          <w:szCs w:val="24"/>
        </w:rPr>
      </w:pPr>
      <w:r w:rsidRPr="007C772A">
        <w:rPr>
          <w:rFonts w:ascii="Cambria" w:hAnsi="Cambria" w:cs="Times New Roman"/>
          <w:sz w:val="24"/>
          <w:szCs w:val="24"/>
        </w:rPr>
        <w:t>Jika pengawasan pada tahapan</w:t>
      </w:r>
      <w:r w:rsidR="002B7487">
        <w:rPr>
          <w:rFonts w:ascii="Cambria" w:hAnsi="Cambria" w:cs="Times New Roman"/>
          <w:sz w:val="24"/>
          <w:szCs w:val="24"/>
        </w:rPr>
        <w:t xml:space="preserve"> sudah berjalan optimal, maka hari pemungutan suara akan berjalan maksimal dan efektif dengan tujuan, antara lain:</w:t>
      </w:r>
      <w:bookmarkStart w:id="0" w:name="_GoBack"/>
      <w:bookmarkEnd w:id="0"/>
    </w:p>
    <w:p w:rsidR="00F63114" w:rsidRPr="00F63114" w:rsidRDefault="007C772A" w:rsidP="00F63114">
      <w:pPr>
        <w:pStyle w:val="ListParagraph"/>
        <w:numPr>
          <w:ilvl w:val="0"/>
          <w:numId w:val="2"/>
        </w:numPr>
        <w:spacing w:line="360" w:lineRule="auto"/>
        <w:jc w:val="both"/>
        <w:rPr>
          <w:rFonts w:ascii="Cambria" w:hAnsi="Cambria" w:cs="Times New Roman"/>
          <w:sz w:val="24"/>
          <w:szCs w:val="24"/>
        </w:rPr>
      </w:pPr>
      <w:r w:rsidRPr="00F63114">
        <w:rPr>
          <w:rFonts w:ascii="Cambria" w:hAnsi="Cambria" w:cs="Times New Roman"/>
          <w:sz w:val="24"/>
          <w:szCs w:val="24"/>
        </w:rPr>
        <w:t xml:space="preserve">Pemilih yang datang memang orang yang berhak (DPT valid). </w:t>
      </w:r>
    </w:p>
    <w:p w:rsidR="00F63114" w:rsidRPr="00F63114" w:rsidRDefault="007C772A" w:rsidP="00F63114">
      <w:pPr>
        <w:pStyle w:val="ListParagraph"/>
        <w:numPr>
          <w:ilvl w:val="0"/>
          <w:numId w:val="2"/>
        </w:numPr>
        <w:spacing w:line="360" w:lineRule="auto"/>
        <w:jc w:val="both"/>
        <w:rPr>
          <w:rFonts w:ascii="Cambria" w:hAnsi="Cambria" w:cs="Times New Roman"/>
          <w:sz w:val="24"/>
          <w:szCs w:val="24"/>
        </w:rPr>
      </w:pPr>
      <w:r w:rsidRPr="00F63114">
        <w:rPr>
          <w:rFonts w:ascii="Cambria" w:hAnsi="Cambria" w:cs="Times New Roman"/>
          <w:sz w:val="24"/>
          <w:szCs w:val="24"/>
        </w:rPr>
        <w:t xml:space="preserve">Peserta pemilu bertindak tertib karena aturan kampanye telah ditegakkan. </w:t>
      </w:r>
    </w:p>
    <w:p w:rsidR="00F63114" w:rsidRPr="00F63114" w:rsidRDefault="007C772A" w:rsidP="00F63114">
      <w:pPr>
        <w:pStyle w:val="ListParagraph"/>
        <w:numPr>
          <w:ilvl w:val="0"/>
          <w:numId w:val="2"/>
        </w:numPr>
        <w:spacing w:line="360" w:lineRule="auto"/>
        <w:jc w:val="both"/>
        <w:rPr>
          <w:rFonts w:ascii="Cambria" w:hAnsi="Cambria" w:cs="Times New Roman"/>
          <w:sz w:val="24"/>
          <w:szCs w:val="24"/>
        </w:rPr>
      </w:pPr>
      <w:r w:rsidRPr="00F63114">
        <w:rPr>
          <w:rFonts w:ascii="Cambria" w:hAnsi="Cambria" w:cs="Times New Roman"/>
          <w:sz w:val="24"/>
          <w:szCs w:val="24"/>
        </w:rPr>
        <w:lastRenderedPageBreak/>
        <w:t xml:space="preserve">Logistik surat suara tiba tepat waktu, tepat jumlah, dan bersegel. </w:t>
      </w:r>
    </w:p>
    <w:p w:rsidR="00F63114" w:rsidRDefault="007C772A" w:rsidP="00F63114">
      <w:pPr>
        <w:spacing w:line="360" w:lineRule="auto"/>
        <w:jc w:val="both"/>
        <w:rPr>
          <w:rFonts w:ascii="Cambria" w:hAnsi="Cambria" w:cs="Times New Roman"/>
          <w:sz w:val="24"/>
          <w:szCs w:val="24"/>
        </w:rPr>
      </w:pPr>
      <w:r w:rsidRPr="007C772A">
        <w:rPr>
          <w:rFonts w:ascii="Cambria" w:hAnsi="Cambria" w:cs="Times New Roman"/>
          <w:sz w:val="24"/>
          <w:szCs w:val="24"/>
        </w:rPr>
        <w:t xml:space="preserve">Dengan demikian, suasana di TPS pada hari H hanyalah refleksi dari kualitas pengawasan yang telah dibangun secara konsisten selama berbulan-bulan sebelumnya. </w:t>
      </w:r>
    </w:p>
    <w:p w:rsidR="00F63114" w:rsidRPr="00F63114" w:rsidRDefault="007C772A" w:rsidP="00F63114">
      <w:pPr>
        <w:spacing w:line="360" w:lineRule="auto"/>
        <w:jc w:val="both"/>
        <w:rPr>
          <w:rFonts w:ascii="Cambria" w:hAnsi="Cambria" w:cs="Times New Roman"/>
          <w:b/>
          <w:sz w:val="24"/>
          <w:szCs w:val="24"/>
        </w:rPr>
      </w:pPr>
      <w:r w:rsidRPr="00F63114">
        <w:rPr>
          <w:rFonts w:ascii="Cambria" w:hAnsi="Cambria" w:cs="Times New Roman"/>
          <w:b/>
          <w:sz w:val="24"/>
          <w:szCs w:val="24"/>
        </w:rPr>
        <w:t xml:space="preserve">Kesimpulan </w:t>
      </w:r>
    </w:p>
    <w:p w:rsidR="007C772A" w:rsidRPr="00701FA9" w:rsidRDefault="007C772A" w:rsidP="00F63114">
      <w:pPr>
        <w:spacing w:line="360" w:lineRule="auto"/>
        <w:ind w:firstLine="630"/>
        <w:jc w:val="both"/>
        <w:rPr>
          <w:rFonts w:ascii="Cambria" w:hAnsi="Cambria" w:cs="Times New Roman"/>
          <w:sz w:val="24"/>
          <w:szCs w:val="24"/>
        </w:rPr>
      </w:pPr>
      <w:r w:rsidRPr="007C772A">
        <w:rPr>
          <w:rFonts w:ascii="Cambria" w:hAnsi="Cambria" w:cs="Times New Roman"/>
          <w:sz w:val="24"/>
          <w:szCs w:val="24"/>
        </w:rPr>
        <w:t>Pernyataan bahwa "pengawasan tidak dilaksanakan pada hari pemungutan suara, tapi dilaksanakan sebelum pemungutan suara dilaksanakan" menekankan pentingnya Paradigma Pencegahan. Pengawasan pemilu adalah marathon panjang yang menguji ketelitian, integritas, dan konsistensi Bawaslu sejak awal tahapan. Hari pemungutan suara hanyalah garis garis akhir (finish line) dari seluruh ikhtiar menjaga kemurnian suara rakyat.</w:t>
      </w:r>
    </w:p>
    <w:sectPr w:rsidR="007C772A" w:rsidRPr="00701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CD1C20"/>
    <w:multiLevelType w:val="hybridMultilevel"/>
    <w:tmpl w:val="4E80FE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0E685D"/>
    <w:multiLevelType w:val="hybridMultilevel"/>
    <w:tmpl w:val="E7C03D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FA9"/>
    <w:rsid w:val="002B7487"/>
    <w:rsid w:val="003B423F"/>
    <w:rsid w:val="004661E0"/>
    <w:rsid w:val="0061046C"/>
    <w:rsid w:val="00701FA9"/>
    <w:rsid w:val="007C772A"/>
    <w:rsid w:val="00A44E77"/>
    <w:rsid w:val="00A85990"/>
    <w:rsid w:val="00AD0A64"/>
    <w:rsid w:val="00BB3478"/>
    <w:rsid w:val="00F63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6A5CB6-185B-4074-859B-EFF51D76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46C"/>
    <w:pPr>
      <w:ind w:left="720"/>
      <w:contextualSpacing/>
    </w:pPr>
  </w:style>
  <w:style w:type="paragraph" w:styleId="NoSpacing">
    <w:name w:val="No Spacing"/>
    <w:uiPriority w:val="1"/>
    <w:qFormat/>
    <w:rsid w:val="0061046C"/>
    <w:pPr>
      <w:spacing w:after="0" w:line="240" w:lineRule="auto"/>
    </w:pPr>
  </w:style>
  <w:style w:type="table" w:styleId="TableGrid">
    <w:name w:val="Table Grid"/>
    <w:basedOn w:val="TableNormal"/>
    <w:uiPriority w:val="39"/>
    <w:rsid w:val="007C77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Accent2">
    <w:name w:val="Grid Table 4 Accent 2"/>
    <w:basedOn w:val="TableNormal"/>
    <w:uiPriority w:val="49"/>
    <w:rsid w:val="007C772A"/>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3</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Portabel Comp</Company>
  <LinksUpToDate>false</LinksUpToDate>
  <CharactersWithSpaces>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2026-09-07T03:19:00Z</dcterms:created>
  <dcterms:modified xsi:type="dcterms:W3CDTF">2026-09-17T08:53:00Z</dcterms:modified>
</cp:coreProperties>
</file>